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2D076" w14:textId="77777777" w:rsidR="00CF0BEB" w:rsidRPr="008C0824" w:rsidRDefault="00CF0BEB" w:rsidP="00DA7685">
      <w:pPr>
        <w:rPr>
          <w:color w:val="003C5B"/>
          <w:sz w:val="34"/>
          <w:szCs w:val="34"/>
        </w:rPr>
      </w:pPr>
      <w:r w:rsidRPr="008C0824">
        <w:rPr>
          <w:color w:val="003C5B"/>
          <w:sz w:val="34"/>
          <w:szCs w:val="34"/>
        </w:rPr>
        <w:t>Be Your Best Advocate</w:t>
      </w:r>
    </w:p>
    <w:p w14:paraId="59E05999" w14:textId="1C9FA392" w:rsidR="00067699" w:rsidRPr="008C0824" w:rsidRDefault="00B23204" w:rsidP="00DA7685">
      <w:pPr>
        <w:rPr>
          <w:rFonts w:cstheme="minorHAnsi"/>
          <w:color w:val="3F96B4"/>
          <w:sz w:val="34"/>
          <w:szCs w:val="34"/>
        </w:rPr>
      </w:pPr>
      <w:r w:rsidRPr="008C0824">
        <w:rPr>
          <w:rFonts w:cstheme="minorHAnsi"/>
          <w:color w:val="3F96B4"/>
          <w:sz w:val="34"/>
          <w:szCs w:val="34"/>
        </w:rPr>
        <w:t>—</w:t>
      </w:r>
    </w:p>
    <w:p w14:paraId="1BBA184D" w14:textId="688FC728" w:rsidR="00CF0BEB" w:rsidRPr="008C0824" w:rsidRDefault="00CF0BEB" w:rsidP="00DA7685">
      <w:pPr>
        <w:rPr>
          <w:color w:val="003C5B"/>
          <w:sz w:val="34"/>
          <w:szCs w:val="34"/>
        </w:rPr>
      </w:pPr>
      <w:r w:rsidRPr="008C0824">
        <w:rPr>
          <w:color w:val="003C5B"/>
          <w:sz w:val="34"/>
          <w:szCs w:val="34"/>
        </w:rPr>
        <w:t>How to Appeal a Prior Authorization Denial</w:t>
      </w:r>
    </w:p>
    <w:p w14:paraId="53E7D81A" w14:textId="77777777" w:rsidR="00CF0BEB" w:rsidRPr="00CF0BEB" w:rsidRDefault="00CF0BEB" w:rsidP="00DA7685">
      <w:pPr>
        <w:rPr>
          <w:color w:val="003C5B"/>
          <w:sz w:val="36"/>
          <w:szCs w:val="36"/>
        </w:rPr>
      </w:pPr>
    </w:p>
    <w:p w14:paraId="58732FB4" w14:textId="77777777" w:rsidR="00CF0BEB" w:rsidRPr="008C0824" w:rsidRDefault="00CF0BEB" w:rsidP="00CF0BEB">
      <w:pPr>
        <w:rPr>
          <w:color w:val="63656A"/>
          <w:sz w:val="22"/>
          <w:szCs w:val="22"/>
        </w:rPr>
      </w:pPr>
      <w:r w:rsidRPr="008C0824">
        <w:rPr>
          <w:color w:val="63656A"/>
          <w:sz w:val="22"/>
          <w:szCs w:val="22"/>
        </w:rPr>
        <w:t xml:space="preserve">Navigating health insurance companies can be uncharted waters for most patients.  Knowing how to work with your insurance provider to receive the therapy your physician prescribed, makes you a powerful advocate for yourself or someone you love.  </w:t>
      </w:r>
    </w:p>
    <w:p w14:paraId="79720FE6" w14:textId="77777777" w:rsidR="00CF0BEB" w:rsidRPr="008C0824" w:rsidRDefault="00CF0BEB" w:rsidP="00DA7685">
      <w:pPr>
        <w:rPr>
          <w:color w:val="3F96B4"/>
          <w:sz w:val="22"/>
          <w:szCs w:val="22"/>
        </w:rPr>
      </w:pPr>
    </w:p>
    <w:p w14:paraId="6AF26A51" w14:textId="77777777" w:rsidR="00CF0BEB" w:rsidRPr="008C0824" w:rsidRDefault="00CF0BEB" w:rsidP="00CF0BEB">
      <w:pPr>
        <w:rPr>
          <w:b/>
          <w:bCs/>
          <w:color w:val="003C5B"/>
          <w:sz w:val="22"/>
          <w:szCs w:val="22"/>
        </w:rPr>
      </w:pPr>
      <w:r w:rsidRPr="008C0824">
        <w:rPr>
          <w:b/>
          <w:bCs/>
          <w:color w:val="003C5B"/>
          <w:sz w:val="22"/>
          <w:szCs w:val="22"/>
        </w:rPr>
        <w:t>STEP #1 – BE READY TO RESPOND</w:t>
      </w:r>
    </w:p>
    <w:p w14:paraId="4B43088C" w14:textId="77777777" w:rsidR="00CF0BEB" w:rsidRPr="008C0824" w:rsidRDefault="00CF0BEB" w:rsidP="00CF0BEB">
      <w:pPr>
        <w:rPr>
          <w:b/>
          <w:bCs/>
          <w:color w:val="003C5B"/>
          <w:sz w:val="22"/>
          <w:szCs w:val="22"/>
        </w:rPr>
      </w:pPr>
    </w:p>
    <w:p w14:paraId="70E582C9" w14:textId="77777777" w:rsidR="00CF0BEB" w:rsidRPr="008C0824" w:rsidRDefault="00CF0BEB" w:rsidP="00CF0BEB">
      <w:pPr>
        <w:rPr>
          <w:b/>
          <w:bCs/>
          <w:color w:val="003C5B"/>
          <w:sz w:val="22"/>
          <w:szCs w:val="22"/>
        </w:rPr>
      </w:pPr>
      <w:r w:rsidRPr="008C0824">
        <w:rPr>
          <w:b/>
          <w:bCs/>
          <w:color w:val="003C5B"/>
          <w:sz w:val="22"/>
          <w:szCs w:val="22"/>
        </w:rPr>
        <w:t xml:space="preserve">It is not unusual for health insurance companies to send what is called a “denial letter.” </w:t>
      </w:r>
    </w:p>
    <w:p w14:paraId="2FD73F73" w14:textId="77777777" w:rsidR="00CF0BEB" w:rsidRPr="008C0824" w:rsidRDefault="00CF0BEB" w:rsidP="00CF0BEB">
      <w:pPr>
        <w:tabs>
          <w:tab w:val="left" w:pos="1950"/>
        </w:tabs>
        <w:spacing w:before="120"/>
        <w:rPr>
          <w:color w:val="63656A"/>
          <w:sz w:val="22"/>
          <w:szCs w:val="22"/>
        </w:rPr>
      </w:pPr>
      <w:r w:rsidRPr="008C0824">
        <w:rPr>
          <w:rFonts w:ascii="Calibri" w:eastAsia="Times New Roman" w:hAnsi="Calibri" w:cs="Calibri"/>
          <w:color w:val="63656A"/>
          <w:sz w:val="22"/>
          <w:szCs w:val="22"/>
        </w:rPr>
        <w:t>These notices are not the final decision! In many cases it means the payer requires more</w:t>
      </w:r>
      <w:r w:rsidRPr="008C0824">
        <w:rPr>
          <w:color w:val="63656A"/>
          <w:sz w:val="22"/>
          <w:szCs w:val="22"/>
        </w:rPr>
        <w:t xml:space="preserve"> information.  This is where you become your best advocate!  </w:t>
      </w:r>
    </w:p>
    <w:p w14:paraId="6FA9DDF0" w14:textId="77777777" w:rsidR="00CF0BEB" w:rsidRPr="008C0824" w:rsidRDefault="00CF0BEB" w:rsidP="00CF0BEB">
      <w:pPr>
        <w:pStyle w:val="ListParagraph"/>
        <w:numPr>
          <w:ilvl w:val="0"/>
          <w:numId w:val="8"/>
        </w:numPr>
        <w:rPr>
          <w:rFonts w:eastAsia="Times New Roman"/>
          <w:color w:val="63656A"/>
        </w:rPr>
      </w:pPr>
      <w:r w:rsidRPr="008C0824">
        <w:rPr>
          <w:rFonts w:eastAsia="Times New Roman"/>
          <w:color w:val="63656A"/>
        </w:rPr>
        <w:t xml:space="preserve">Be prepared to tell your story in your appeal letter.  </w:t>
      </w:r>
    </w:p>
    <w:p w14:paraId="62B4451C" w14:textId="77777777" w:rsidR="00CF0BEB" w:rsidRPr="008C0824" w:rsidRDefault="00CF0BEB" w:rsidP="00CF0BEB">
      <w:pPr>
        <w:pStyle w:val="ListParagraph"/>
        <w:numPr>
          <w:ilvl w:val="0"/>
          <w:numId w:val="8"/>
        </w:numPr>
        <w:rPr>
          <w:rFonts w:eastAsia="Times New Roman"/>
          <w:color w:val="63656A"/>
        </w:rPr>
      </w:pPr>
      <w:r w:rsidRPr="008C0824">
        <w:rPr>
          <w:rFonts w:eastAsia="Times New Roman"/>
          <w:color w:val="63656A"/>
        </w:rPr>
        <w:t xml:space="preserve">Explain how long you have been diagnosed with lymphedema and what has caused it or if it’s hereditary. </w:t>
      </w:r>
    </w:p>
    <w:p w14:paraId="38CC2601" w14:textId="7E7AC301" w:rsidR="00CF0BEB" w:rsidRPr="008C0824" w:rsidRDefault="00CF0BEB" w:rsidP="00CF0BEB">
      <w:pPr>
        <w:pStyle w:val="ListParagraph"/>
        <w:numPr>
          <w:ilvl w:val="0"/>
          <w:numId w:val="8"/>
        </w:numPr>
        <w:rPr>
          <w:rFonts w:eastAsia="Times New Roman"/>
          <w:color w:val="63656A"/>
        </w:rPr>
      </w:pPr>
      <w:r w:rsidRPr="008C0824">
        <w:rPr>
          <w:rFonts w:eastAsia="Times New Roman"/>
          <w:color w:val="63656A"/>
        </w:rPr>
        <w:t>Explain how lymphedema has negatively impacted your everyday life.  You need to share the barriers you fac</w:t>
      </w:r>
      <w:r w:rsidR="003A3984">
        <w:rPr>
          <w:rFonts w:eastAsia="Times New Roman"/>
          <w:color w:val="63656A"/>
        </w:rPr>
        <w:t>e</w:t>
      </w:r>
      <w:r w:rsidRPr="008C0824">
        <w:rPr>
          <w:rFonts w:eastAsia="Times New Roman"/>
          <w:color w:val="63656A"/>
        </w:rPr>
        <w:t xml:space="preserve"> living with lymphatic disease. </w:t>
      </w:r>
    </w:p>
    <w:p w14:paraId="0ADABE3F" w14:textId="77777777" w:rsidR="00CF0BEB" w:rsidRPr="008C0824" w:rsidRDefault="00CF0BEB" w:rsidP="00CF0BEB">
      <w:pPr>
        <w:pStyle w:val="ListParagraph"/>
        <w:numPr>
          <w:ilvl w:val="0"/>
          <w:numId w:val="8"/>
        </w:numPr>
        <w:rPr>
          <w:rFonts w:eastAsia="Times New Roman"/>
          <w:color w:val="63656A"/>
        </w:rPr>
      </w:pPr>
      <w:r w:rsidRPr="008C0824">
        <w:rPr>
          <w:rFonts w:eastAsia="Times New Roman"/>
          <w:color w:val="63656A"/>
        </w:rPr>
        <w:t xml:space="preserve">The more details you share the better!  </w:t>
      </w:r>
    </w:p>
    <w:p w14:paraId="04C12E1D" w14:textId="77777777" w:rsidR="00CF0BEB" w:rsidRPr="008C0824" w:rsidRDefault="00CF0BEB" w:rsidP="00CF0BEB">
      <w:pPr>
        <w:pStyle w:val="ListParagraph"/>
        <w:numPr>
          <w:ilvl w:val="0"/>
          <w:numId w:val="8"/>
        </w:numPr>
        <w:rPr>
          <w:rFonts w:eastAsia="Times New Roman"/>
          <w:color w:val="63656A"/>
        </w:rPr>
      </w:pPr>
      <w:r w:rsidRPr="008C0824">
        <w:rPr>
          <w:rFonts w:eastAsia="Times New Roman"/>
          <w:color w:val="63656A"/>
        </w:rPr>
        <w:t>Important: there are deadlines to appeal, understand the deadline so you do not miss your opportunity to appeal.</w:t>
      </w:r>
    </w:p>
    <w:p w14:paraId="462BF7D0" w14:textId="77777777" w:rsidR="00CF0BEB" w:rsidRPr="008C0824" w:rsidRDefault="00CF0BEB" w:rsidP="00DA7685">
      <w:pPr>
        <w:rPr>
          <w:color w:val="3F96B4"/>
          <w:sz w:val="22"/>
          <w:szCs w:val="22"/>
        </w:rPr>
      </w:pPr>
    </w:p>
    <w:p w14:paraId="15A67B64" w14:textId="6814342C" w:rsidR="00CF0BEB" w:rsidRPr="008C0824" w:rsidRDefault="00CF0BEB" w:rsidP="00CF0BEB">
      <w:pPr>
        <w:rPr>
          <w:b/>
          <w:bCs/>
          <w:color w:val="003C5B"/>
          <w:sz w:val="22"/>
          <w:szCs w:val="22"/>
        </w:rPr>
      </w:pPr>
      <w:r w:rsidRPr="008C0824">
        <w:rPr>
          <w:b/>
          <w:bCs/>
          <w:color w:val="003C5B"/>
          <w:sz w:val="22"/>
          <w:szCs w:val="22"/>
        </w:rPr>
        <w:t>Information to include with your a</w:t>
      </w:r>
      <w:r w:rsidR="003D6A70">
        <w:rPr>
          <w:b/>
          <w:bCs/>
          <w:color w:val="003C5B"/>
          <w:sz w:val="22"/>
          <w:szCs w:val="22"/>
        </w:rPr>
        <w:t>dvocacy</w:t>
      </w:r>
      <w:r w:rsidRPr="008C0824">
        <w:rPr>
          <w:b/>
          <w:bCs/>
          <w:color w:val="003C5B"/>
          <w:sz w:val="22"/>
          <w:szCs w:val="22"/>
        </w:rPr>
        <w:t xml:space="preserve"> letter:</w:t>
      </w:r>
    </w:p>
    <w:p w14:paraId="2ED86B8B" w14:textId="77777777" w:rsidR="00CF0BEB" w:rsidRPr="008C0824" w:rsidRDefault="00CF0BEB" w:rsidP="00CF0BEB">
      <w:pPr>
        <w:pStyle w:val="ListParagraph"/>
        <w:numPr>
          <w:ilvl w:val="0"/>
          <w:numId w:val="8"/>
        </w:numPr>
        <w:spacing w:before="120"/>
        <w:rPr>
          <w:rFonts w:eastAsia="Times New Roman"/>
          <w:color w:val="63656A"/>
        </w:rPr>
      </w:pPr>
      <w:r w:rsidRPr="008C0824">
        <w:rPr>
          <w:rFonts w:eastAsia="Times New Roman"/>
          <w:color w:val="63656A"/>
        </w:rPr>
        <w:t>Case or Referral # - This should be on the denial letter.</w:t>
      </w:r>
    </w:p>
    <w:p w14:paraId="3FA28086" w14:textId="77777777" w:rsidR="00CF0BEB" w:rsidRPr="008C0824" w:rsidRDefault="00CF0BEB" w:rsidP="00CF0BEB">
      <w:pPr>
        <w:pStyle w:val="ListParagraph"/>
        <w:numPr>
          <w:ilvl w:val="0"/>
          <w:numId w:val="8"/>
        </w:numPr>
        <w:rPr>
          <w:rFonts w:eastAsia="Times New Roman"/>
          <w:color w:val="63656A"/>
        </w:rPr>
      </w:pPr>
      <w:r w:rsidRPr="008C0824">
        <w:rPr>
          <w:rFonts w:eastAsia="Times New Roman"/>
          <w:color w:val="63656A"/>
        </w:rPr>
        <w:t>Patient Appeal Form – Request this from the insurance representative or visit their website.  Not all insurance companies may have one.</w:t>
      </w:r>
    </w:p>
    <w:p w14:paraId="7E26FB7E" w14:textId="5485D242" w:rsidR="00CF0BEB" w:rsidRPr="008C0824" w:rsidRDefault="00CF0BEB" w:rsidP="00CF0BEB">
      <w:pPr>
        <w:pStyle w:val="ListParagraph"/>
        <w:numPr>
          <w:ilvl w:val="0"/>
          <w:numId w:val="8"/>
        </w:numPr>
        <w:rPr>
          <w:rFonts w:eastAsia="Times New Roman"/>
          <w:color w:val="63656A"/>
        </w:rPr>
      </w:pPr>
      <w:r w:rsidRPr="008C0824">
        <w:rPr>
          <w:rFonts w:eastAsia="Times New Roman"/>
          <w:color w:val="63656A"/>
        </w:rPr>
        <w:t>Patient Grievance Form – Insurance companies are required to provide upon request.</w:t>
      </w:r>
    </w:p>
    <w:p w14:paraId="6194531E" w14:textId="77777777" w:rsidR="00CF0BEB" w:rsidRPr="008C0824" w:rsidRDefault="00CF0BEB" w:rsidP="00CF0BEB">
      <w:pPr>
        <w:rPr>
          <w:sz w:val="22"/>
          <w:szCs w:val="22"/>
        </w:rPr>
      </w:pPr>
    </w:p>
    <w:p w14:paraId="11D76997" w14:textId="77777777" w:rsidR="00CF0BEB" w:rsidRPr="008C0824" w:rsidRDefault="00CF0BEB" w:rsidP="00CF0BEB">
      <w:pPr>
        <w:rPr>
          <w:sz w:val="22"/>
          <w:szCs w:val="22"/>
        </w:rPr>
      </w:pPr>
    </w:p>
    <w:p w14:paraId="0EAA5A2E" w14:textId="3AD1C059" w:rsidR="00CF0BEB" w:rsidRPr="008C0824" w:rsidRDefault="00CF0BEB" w:rsidP="00CF0BEB">
      <w:pPr>
        <w:rPr>
          <w:b/>
          <w:bCs/>
          <w:color w:val="003C5B"/>
          <w:sz w:val="22"/>
          <w:szCs w:val="22"/>
        </w:rPr>
      </w:pPr>
      <w:r w:rsidRPr="008C0824">
        <w:rPr>
          <w:b/>
          <w:bCs/>
          <w:color w:val="003C5B"/>
          <w:sz w:val="22"/>
          <w:szCs w:val="22"/>
        </w:rPr>
        <w:t xml:space="preserve">STEP #2 – SUBMIT YOUR </w:t>
      </w:r>
      <w:r w:rsidR="00477AB6">
        <w:rPr>
          <w:b/>
          <w:bCs/>
          <w:color w:val="003C5B"/>
          <w:sz w:val="22"/>
          <w:szCs w:val="22"/>
        </w:rPr>
        <w:t>ADVOCACY LETTER</w:t>
      </w:r>
      <w:r w:rsidRPr="008C0824">
        <w:rPr>
          <w:b/>
          <w:bCs/>
          <w:color w:val="003C5B"/>
          <w:sz w:val="22"/>
          <w:szCs w:val="22"/>
        </w:rPr>
        <w:t xml:space="preserve"> TO YOUR HEALTH INSURANCE PROVIDER</w:t>
      </w:r>
    </w:p>
    <w:p w14:paraId="669E0C05" w14:textId="77777777" w:rsidR="00CF0BEB" w:rsidRPr="008C0824" w:rsidRDefault="00CF0BEB" w:rsidP="00CF0BEB">
      <w:pPr>
        <w:rPr>
          <w:b/>
          <w:bCs/>
          <w:color w:val="003C5B"/>
          <w:sz w:val="22"/>
          <w:szCs w:val="22"/>
        </w:rPr>
      </w:pPr>
    </w:p>
    <w:p w14:paraId="18AB70EE" w14:textId="675BCCE7" w:rsidR="00CF0BEB" w:rsidRPr="008C0824" w:rsidRDefault="00CF0BEB" w:rsidP="00CF0BEB">
      <w:pPr>
        <w:rPr>
          <w:b/>
          <w:bCs/>
          <w:color w:val="003C5B"/>
          <w:sz w:val="22"/>
          <w:szCs w:val="22"/>
        </w:rPr>
      </w:pPr>
      <w:r w:rsidRPr="008C0824">
        <w:rPr>
          <w:b/>
          <w:bCs/>
          <w:color w:val="003C5B"/>
          <w:sz w:val="22"/>
          <w:szCs w:val="22"/>
        </w:rPr>
        <w:t>Instructions on how to submit an a</w:t>
      </w:r>
      <w:r w:rsidR="00477AB6">
        <w:rPr>
          <w:b/>
          <w:bCs/>
          <w:color w:val="003C5B"/>
          <w:sz w:val="22"/>
          <w:szCs w:val="22"/>
        </w:rPr>
        <w:t>dvocacy letter</w:t>
      </w:r>
      <w:r w:rsidRPr="008C0824">
        <w:rPr>
          <w:b/>
          <w:bCs/>
          <w:color w:val="003C5B"/>
          <w:sz w:val="22"/>
          <w:szCs w:val="22"/>
        </w:rPr>
        <w:t xml:space="preserve"> should be on the denial letter from your </w:t>
      </w:r>
      <w:r w:rsidRPr="008C0824">
        <w:rPr>
          <w:b/>
          <w:bCs/>
          <w:color w:val="003C5B"/>
          <w:sz w:val="22"/>
          <w:szCs w:val="22"/>
        </w:rPr>
        <w:br/>
        <w:t>insurance company.</w:t>
      </w:r>
    </w:p>
    <w:p w14:paraId="499E51F8" w14:textId="041821DF" w:rsidR="00CF0BEB" w:rsidRPr="008C0824" w:rsidRDefault="00CF0BEB" w:rsidP="00CF0BEB">
      <w:pPr>
        <w:tabs>
          <w:tab w:val="left" w:pos="1950"/>
        </w:tabs>
        <w:spacing w:before="120"/>
        <w:rPr>
          <w:sz w:val="22"/>
          <w:szCs w:val="22"/>
        </w:rPr>
      </w:pPr>
      <w:r w:rsidRPr="008C0824">
        <w:rPr>
          <w:b/>
          <w:bCs/>
          <w:color w:val="003C5B"/>
          <w:sz w:val="22"/>
          <w:szCs w:val="22"/>
        </w:rPr>
        <w:t>Call the insurance company if you have any questions.</w:t>
      </w:r>
      <w:r w:rsidRPr="008C0824">
        <w:rPr>
          <w:sz w:val="22"/>
          <w:szCs w:val="22"/>
        </w:rPr>
        <w:t xml:space="preserve">  </w:t>
      </w:r>
      <w:r w:rsidRPr="008C0824">
        <w:rPr>
          <w:color w:val="63656A"/>
          <w:sz w:val="22"/>
          <w:szCs w:val="22"/>
        </w:rPr>
        <w:t>A Member Support phone number should be on either the denial letter or the back of your Insurance Card.  Explain to them you are trying to submit an appeal to a prior authorization denial and need help.</w:t>
      </w:r>
    </w:p>
    <w:p w14:paraId="40A79FCD" w14:textId="77777777" w:rsidR="00CF0BEB" w:rsidRPr="008C0824" w:rsidRDefault="00CF0BEB" w:rsidP="00CF0BEB">
      <w:pPr>
        <w:rPr>
          <w:color w:val="63656A"/>
          <w:sz w:val="22"/>
          <w:szCs w:val="22"/>
        </w:rPr>
      </w:pPr>
    </w:p>
    <w:p w14:paraId="59BB7461" w14:textId="3CD7DF8B" w:rsidR="00CF0BEB" w:rsidRPr="008C0824" w:rsidRDefault="00CF0BEB" w:rsidP="00CF0BEB">
      <w:pPr>
        <w:rPr>
          <w:color w:val="63656A"/>
          <w:sz w:val="22"/>
          <w:szCs w:val="22"/>
        </w:rPr>
      </w:pPr>
      <w:r w:rsidRPr="008C0824">
        <w:rPr>
          <w:color w:val="63656A"/>
          <w:sz w:val="22"/>
          <w:szCs w:val="22"/>
        </w:rPr>
        <w:lastRenderedPageBreak/>
        <w:t>You are not alone! Tactile is here to advocate with you! Helping you in this journey is our TOP priority.  We have local care teams and payer specialists available to assist you with any questions or concerns you might have.</w:t>
      </w:r>
    </w:p>
    <w:p w14:paraId="18387CFC" w14:textId="77777777" w:rsidR="00CF0BEB" w:rsidRPr="008C0824" w:rsidRDefault="00CF0BEB" w:rsidP="00CF0BEB">
      <w:pPr>
        <w:rPr>
          <w:color w:val="63656A"/>
          <w:sz w:val="22"/>
          <w:szCs w:val="22"/>
        </w:rPr>
      </w:pPr>
    </w:p>
    <w:p w14:paraId="1836F038" w14:textId="2FB86F2F" w:rsidR="00CF0BEB" w:rsidRPr="008C0824" w:rsidRDefault="00CF0BEB" w:rsidP="00CF0BEB">
      <w:pPr>
        <w:rPr>
          <w:color w:val="63656A"/>
          <w:sz w:val="22"/>
          <w:szCs w:val="22"/>
        </w:rPr>
      </w:pPr>
      <w:r w:rsidRPr="008C0824">
        <w:rPr>
          <w:color w:val="63656A"/>
          <w:sz w:val="22"/>
          <w:szCs w:val="22"/>
        </w:rPr>
        <w:t xml:space="preserve">If you need more information on how you can advocate for yourself, please contact Tactile at </w:t>
      </w:r>
      <w:hyperlink r:id="rId10" w:history="1">
        <w:r w:rsidRPr="008C0824">
          <w:rPr>
            <w:b/>
            <w:bCs/>
            <w:color w:val="3F96B4"/>
            <w:sz w:val="22"/>
            <w:szCs w:val="22"/>
          </w:rPr>
          <w:t>PatientAccess@tactilemedical.com</w:t>
        </w:r>
      </w:hyperlink>
      <w:r w:rsidRPr="008C0824">
        <w:rPr>
          <w:color w:val="63656A"/>
          <w:sz w:val="22"/>
          <w:szCs w:val="22"/>
        </w:rPr>
        <w:t xml:space="preserve">. </w:t>
      </w:r>
    </w:p>
    <w:p w14:paraId="5B75042B" w14:textId="77777777" w:rsidR="006531D0" w:rsidRPr="00877288" w:rsidRDefault="006531D0" w:rsidP="002A5818"/>
    <w:sectPr w:rsidR="006531D0" w:rsidRPr="00877288" w:rsidSect="00962D62">
      <w:headerReference w:type="default" r:id="rId11"/>
      <w:footerReference w:type="defaul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00F82" w14:textId="77777777" w:rsidR="009870C3" w:rsidRDefault="009870C3" w:rsidP="00E86AEB">
      <w:r>
        <w:separator/>
      </w:r>
    </w:p>
  </w:endnote>
  <w:endnote w:type="continuationSeparator" w:id="0">
    <w:p w14:paraId="783792F7" w14:textId="77777777" w:rsidR="009870C3" w:rsidRDefault="009870C3" w:rsidP="00E8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F13B" w14:textId="199F0E00" w:rsidR="00E86AEB" w:rsidRDefault="001B5965" w:rsidP="008A38D6">
    <w:pPr>
      <w:pStyle w:val="Footer"/>
      <w:ind w:hanging="1440"/>
    </w:pPr>
    <w:r>
      <w:rPr>
        <w:noProof/>
      </w:rPr>
      <w:drawing>
        <wp:inline distT="0" distB="0" distL="0" distR="0" wp14:anchorId="0C88E198" wp14:editId="05E8C2BC">
          <wp:extent cx="7818120" cy="919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ctile Medical letterhead_2020_Footer.jpg"/>
                  <pic:cNvPicPr/>
                </pic:nvPicPr>
                <pic:blipFill>
                  <a:blip r:embed="rId1">
                    <a:extLst>
                      <a:ext uri="{28A0092B-C50C-407E-A947-70E740481C1C}">
                        <a14:useLocalDpi xmlns:a14="http://schemas.microsoft.com/office/drawing/2010/main" val="0"/>
                      </a:ext>
                    </a:extLst>
                  </a:blip>
                  <a:stretch>
                    <a:fillRect/>
                  </a:stretch>
                </pic:blipFill>
                <pic:spPr>
                  <a:xfrm>
                    <a:off x="0" y="0"/>
                    <a:ext cx="7818120" cy="9196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8C03" w14:textId="77777777" w:rsidR="009870C3" w:rsidRDefault="009870C3" w:rsidP="00E86AEB">
      <w:r>
        <w:separator/>
      </w:r>
    </w:p>
  </w:footnote>
  <w:footnote w:type="continuationSeparator" w:id="0">
    <w:p w14:paraId="3C307522" w14:textId="77777777" w:rsidR="009870C3" w:rsidRDefault="009870C3" w:rsidP="00E8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8C28" w14:textId="78D9D57C" w:rsidR="00E86AEB" w:rsidRDefault="001B5965" w:rsidP="00E86AEB">
    <w:pPr>
      <w:pStyle w:val="Header"/>
      <w:ind w:hanging="1440"/>
    </w:pPr>
    <w:r>
      <w:rPr>
        <w:noProof/>
      </w:rPr>
      <w:drawing>
        <wp:inline distT="0" distB="0" distL="0" distR="0" wp14:anchorId="57DFE550" wp14:editId="6E315F70">
          <wp:extent cx="7772400" cy="91425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ctile Medical letterhead_2020_Header Full.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F8F"/>
    <w:multiLevelType w:val="hybridMultilevel"/>
    <w:tmpl w:val="1EF284F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962BC0"/>
    <w:multiLevelType w:val="hybridMultilevel"/>
    <w:tmpl w:val="349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2F70"/>
    <w:multiLevelType w:val="hybridMultilevel"/>
    <w:tmpl w:val="4DFA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0173"/>
    <w:multiLevelType w:val="multilevel"/>
    <w:tmpl w:val="8FFE7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B55D86"/>
    <w:multiLevelType w:val="hybridMultilevel"/>
    <w:tmpl w:val="67AC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BC4C32"/>
    <w:multiLevelType w:val="hybridMultilevel"/>
    <w:tmpl w:val="8A84856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D7D3542"/>
    <w:multiLevelType w:val="hybridMultilevel"/>
    <w:tmpl w:val="A97EE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B44321"/>
    <w:multiLevelType w:val="hybridMultilevel"/>
    <w:tmpl w:val="4AA27920"/>
    <w:lvl w:ilvl="0" w:tplc="40489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B2C50"/>
    <w:multiLevelType w:val="hybridMultilevel"/>
    <w:tmpl w:val="8ED653C2"/>
    <w:lvl w:ilvl="0" w:tplc="2F682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489756">
    <w:abstractNumId w:val="7"/>
  </w:num>
  <w:num w:numId="2" w16cid:durableId="2060395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8035424">
    <w:abstractNumId w:val="8"/>
  </w:num>
  <w:num w:numId="4" w16cid:durableId="943345701">
    <w:abstractNumId w:val="4"/>
  </w:num>
  <w:num w:numId="5" w16cid:durableId="1650937038">
    <w:abstractNumId w:val="6"/>
  </w:num>
  <w:num w:numId="6" w16cid:durableId="1190412217">
    <w:abstractNumId w:val="4"/>
  </w:num>
  <w:num w:numId="7" w16cid:durableId="107894019">
    <w:abstractNumId w:val="0"/>
  </w:num>
  <w:num w:numId="8" w16cid:durableId="1467241135">
    <w:abstractNumId w:val="5"/>
  </w:num>
  <w:num w:numId="9" w16cid:durableId="242103973">
    <w:abstractNumId w:val="1"/>
  </w:num>
  <w:num w:numId="10" w16cid:durableId="193266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EB"/>
    <w:rsid w:val="000005C1"/>
    <w:rsid w:val="000026D1"/>
    <w:rsid w:val="0005260B"/>
    <w:rsid w:val="000568A6"/>
    <w:rsid w:val="00067699"/>
    <w:rsid w:val="00091A0F"/>
    <w:rsid w:val="00130224"/>
    <w:rsid w:val="001B5965"/>
    <w:rsid w:val="001F6887"/>
    <w:rsid w:val="002A5818"/>
    <w:rsid w:val="003A3984"/>
    <w:rsid w:val="003D6A70"/>
    <w:rsid w:val="00477AB6"/>
    <w:rsid w:val="004F17E8"/>
    <w:rsid w:val="004F49A9"/>
    <w:rsid w:val="005165A1"/>
    <w:rsid w:val="00627F36"/>
    <w:rsid w:val="006531D0"/>
    <w:rsid w:val="007B41CB"/>
    <w:rsid w:val="00815489"/>
    <w:rsid w:val="00877288"/>
    <w:rsid w:val="008A38D6"/>
    <w:rsid w:val="008C059D"/>
    <w:rsid w:val="008C0824"/>
    <w:rsid w:val="00962D62"/>
    <w:rsid w:val="009870C3"/>
    <w:rsid w:val="009A3EC4"/>
    <w:rsid w:val="009D78E4"/>
    <w:rsid w:val="009F748F"/>
    <w:rsid w:val="00AF7589"/>
    <w:rsid w:val="00B05DEB"/>
    <w:rsid w:val="00B23204"/>
    <w:rsid w:val="00B714C9"/>
    <w:rsid w:val="00CF0BEB"/>
    <w:rsid w:val="00DA7685"/>
    <w:rsid w:val="00E14244"/>
    <w:rsid w:val="00E21F9F"/>
    <w:rsid w:val="00E86AEB"/>
    <w:rsid w:val="00F3072F"/>
    <w:rsid w:val="00FC7DB3"/>
    <w:rsid w:val="43E296D8"/>
    <w:rsid w:val="5312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BD20A"/>
  <w15:chartTrackingRefBased/>
  <w15:docId w15:val="{3ADCCDBA-D3D6-8C45-9C6A-46C6852A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AEB"/>
    <w:pPr>
      <w:tabs>
        <w:tab w:val="center" w:pos="4680"/>
        <w:tab w:val="right" w:pos="9360"/>
      </w:tabs>
    </w:pPr>
  </w:style>
  <w:style w:type="character" w:customStyle="1" w:styleId="HeaderChar">
    <w:name w:val="Header Char"/>
    <w:basedOn w:val="DefaultParagraphFont"/>
    <w:link w:val="Header"/>
    <w:uiPriority w:val="99"/>
    <w:rsid w:val="00E86AEB"/>
  </w:style>
  <w:style w:type="paragraph" w:styleId="Footer">
    <w:name w:val="footer"/>
    <w:basedOn w:val="Normal"/>
    <w:link w:val="FooterChar"/>
    <w:uiPriority w:val="99"/>
    <w:unhideWhenUsed/>
    <w:rsid w:val="00E86AEB"/>
    <w:pPr>
      <w:tabs>
        <w:tab w:val="center" w:pos="4680"/>
        <w:tab w:val="right" w:pos="9360"/>
      </w:tabs>
    </w:pPr>
  </w:style>
  <w:style w:type="character" w:customStyle="1" w:styleId="FooterChar">
    <w:name w:val="Footer Char"/>
    <w:basedOn w:val="DefaultParagraphFont"/>
    <w:link w:val="Footer"/>
    <w:uiPriority w:val="99"/>
    <w:rsid w:val="00E86AEB"/>
  </w:style>
  <w:style w:type="paragraph" w:customStyle="1" w:styleId="Default">
    <w:name w:val="Default"/>
    <w:rsid w:val="00B714C9"/>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067699"/>
    <w:pPr>
      <w:ind w:left="720"/>
    </w:pPr>
    <w:rPr>
      <w:rFonts w:ascii="Calibri" w:hAnsi="Calibri" w:cs="Calibri"/>
      <w:sz w:val="22"/>
      <w:szCs w:val="22"/>
    </w:rPr>
  </w:style>
  <w:style w:type="character" w:styleId="Hyperlink">
    <w:name w:val="Hyperlink"/>
    <w:basedOn w:val="DefaultParagraphFont"/>
    <w:uiPriority w:val="99"/>
    <w:unhideWhenUsed/>
    <w:rsid w:val="00CF0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28506">
      <w:bodyDiv w:val="1"/>
      <w:marLeft w:val="0"/>
      <w:marRight w:val="0"/>
      <w:marTop w:val="0"/>
      <w:marBottom w:val="0"/>
      <w:divBdr>
        <w:top w:val="none" w:sz="0" w:space="0" w:color="auto"/>
        <w:left w:val="none" w:sz="0" w:space="0" w:color="auto"/>
        <w:bottom w:val="none" w:sz="0" w:space="0" w:color="auto"/>
        <w:right w:val="none" w:sz="0" w:space="0" w:color="auto"/>
      </w:divBdr>
    </w:div>
    <w:div w:id="13162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tientAccess@tactilemedic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7259C3FD62D846BBF6791FF53F3FCC" ma:contentTypeVersion="11" ma:contentTypeDescription="Create a new document." ma:contentTypeScope="" ma:versionID="85cd7f791fd29b377d1cb08acdcf9760">
  <xsd:schema xmlns:xsd="http://www.w3.org/2001/XMLSchema" xmlns:xs="http://www.w3.org/2001/XMLSchema" xmlns:p="http://schemas.microsoft.com/office/2006/metadata/properties" xmlns:ns2="a25f65bb-d3fe-4e80-ba4a-44b226a31cb6" xmlns:ns3="3014ef7b-260e-480a-bf43-3ecb015c52ae" targetNamespace="http://schemas.microsoft.com/office/2006/metadata/properties" ma:root="true" ma:fieldsID="baf83305e3b8d69a048722830733787a" ns2:_="" ns3:_="">
    <xsd:import namespace="a25f65bb-d3fe-4e80-ba4a-44b226a31cb6"/>
    <xsd:import namespace="3014ef7b-260e-480a-bf43-3ecb015c5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f65bb-d3fe-4e80-ba4a-44b226a31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ef7b-260e-480a-bf43-3ecb015c52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B07DD-8279-4E7B-AD0A-8DF6ADFFCC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83DF2-EC27-4564-BD7A-FDCE8988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f65bb-d3fe-4e80-ba4a-44b226a31cb6"/>
    <ds:schemaRef ds:uri="3014ef7b-260e-480a-bf43-3ecb015c5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44CEE-B45E-4CE3-9A5A-5559CA5CF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1866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West Reger</dc:creator>
  <cp:keywords/>
  <dc:description/>
  <cp:lastModifiedBy>Brian D’Orazio</cp:lastModifiedBy>
  <cp:revision>2</cp:revision>
  <dcterms:created xsi:type="dcterms:W3CDTF">2024-08-27T18:30:00Z</dcterms:created>
  <dcterms:modified xsi:type="dcterms:W3CDTF">2024-08-27T18:30:00Z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0x010100FD7259C3FD62D846BBF6791FF53F3FCC</vt:lpwstr>
  </property>
  <property fmtid="{D5CDD505-2E9C-101B-9397-08002B2CF9AE}" pid="3" name="GrammarlyDocumentId">
    <vt:lpwstr>3963aaff1cb175613def6e25f94766857b98bbc96928f3f11717c767a61897c6</vt:lpwstr>
  </property>
</Properties>
</file>